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BADAE">
      <w:pPr>
        <w:spacing w:before="1134"/>
        <w:jc w:val="center"/>
      </w:pPr>
      <w:r>
        <w:rPr>
          <w:rFonts w:ascii="Times New Roman" w:hAnsi="Times New Roman" w:eastAsia="Times New Roman"/>
          <w:b/>
          <w:sz w:val="32"/>
        </w:rPr>
        <w:t>ОСНОВНА ШКОЛА „ВО</w:t>
      </w:r>
      <w:r>
        <w:rPr>
          <w:b/>
          <w:sz w:val="32"/>
          <w:lang w:val="sr-Cyrl-RS"/>
        </w:rPr>
        <w:t>ЖД</w:t>
      </w:r>
      <w:bookmarkStart w:id="0" w:name="_GoBack"/>
      <w:bookmarkEnd w:id="0"/>
      <w:r>
        <w:rPr>
          <w:rFonts w:ascii="Times New Roman" w:hAnsi="Times New Roman" w:eastAsia="Times New Roman"/>
          <w:b/>
          <w:sz w:val="32"/>
        </w:rPr>
        <w:t xml:space="preserve"> КАРАЂОРЂЕ“</w:t>
      </w:r>
      <w:r>
        <w:rPr>
          <w:rFonts w:ascii="Times New Roman" w:hAnsi="Times New Roman" w:eastAsia="Times New Roman"/>
          <w:b/>
          <w:sz w:val="32"/>
        </w:rPr>
        <w:br w:type="textWrapping"/>
      </w:r>
      <w:r>
        <w:rPr>
          <w:rFonts w:ascii="Times New Roman" w:hAnsi="Times New Roman" w:eastAsia="Times New Roman"/>
          <w:b/>
          <w:sz w:val="28"/>
        </w:rPr>
        <w:t>ЈАКОВО</w:t>
      </w:r>
      <w:r>
        <w:rPr>
          <w:rFonts w:ascii="Times New Roman" w:hAnsi="Times New Roman" w:eastAsia="Times New Roman"/>
          <w:b/>
          <w:sz w:val="28"/>
        </w:rPr>
        <w:br w:type="textWrapping"/>
      </w:r>
      <w:r>
        <w:rPr>
          <w:rFonts w:ascii="Times New Roman" w:hAnsi="Times New Roman" w:eastAsia="Times New Roman"/>
          <w:b w:val="0"/>
          <w:sz w:val="24"/>
        </w:rPr>
        <w:br w:type="textWrapping"/>
      </w:r>
      <w:r>
        <w:rPr>
          <w:rFonts w:ascii="Times New Roman" w:hAnsi="Times New Roman" w:eastAsia="Times New Roman"/>
          <w:b/>
          <w:sz w:val="32"/>
        </w:rPr>
        <w:t>КРИТЕРИЈУМИ ЗА ОЦЕЊИВАЊЕ УЧЕНИКА</w:t>
      </w:r>
      <w:r>
        <w:rPr>
          <w:rFonts w:ascii="Times New Roman" w:hAnsi="Times New Roman" w:eastAsia="Times New Roman"/>
          <w:b/>
          <w:sz w:val="32"/>
        </w:rPr>
        <w:br w:type="textWrapping"/>
      </w:r>
      <w:r>
        <w:rPr>
          <w:rFonts w:ascii="Times New Roman" w:hAnsi="Times New Roman" w:eastAsia="Times New Roman"/>
          <w:b/>
          <w:sz w:val="28"/>
        </w:rPr>
        <w:t>ИСТОРИЈА – V, VI, VII И VIII РАЗРЕД</w:t>
      </w:r>
      <w:r>
        <w:rPr>
          <w:rFonts w:ascii="Times New Roman" w:hAnsi="Times New Roman" w:eastAsia="Times New Roman"/>
          <w:b/>
          <w:sz w:val="28"/>
        </w:rPr>
        <w:br w:type="textWrapping"/>
      </w:r>
      <w:r>
        <w:rPr>
          <w:rFonts w:ascii="Times New Roman" w:hAnsi="Times New Roman" w:eastAsia="Times New Roman"/>
          <w:b w:val="0"/>
          <w:sz w:val="24"/>
        </w:rPr>
        <w:br w:type="textWrapping"/>
      </w:r>
      <w:r>
        <w:rPr>
          <w:rFonts w:ascii="Times New Roman" w:hAnsi="Times New Roman" w:eastAsia="Times New Roman"/>
          <w:b w:val="0"/>
          <w:sz w:val="26"/>
        </w:rPr>
        <w:t>Школска 2026/2027. година</w:t>
      </w:r>
      <w:r>
        <w:rPr>
          <w:rFonts w:ascii="Times New Roman" w:hAnsi="Times New Roman" w:eastAsia="Times New Roman"/>
          <w:b w:val="0"/>
          <w:sz w:val="26"/>
        </w:rPr>
        <w:br w:type="textWrapping"/>
      </w:r>
      <w:r>
        <w:rPr>
          <w:rFonts w:ascii="Times New Roman" w:hAnsi="Times New Roman" w:eastAsia="Times New Roman"/>
          <w:b w:val="0"/>
          <w:sz w:val="24"/>
        </w:rPr>
        <w:br w:type="textWrapping"/>
      </w:r>
      <w:r>
        <w:rPr>
          <w:rFonts w:ascii="Times New Roman" w:hAnsi="Times New Roman" w:eastAsia="Times New Roman"/>
          <w:b w:val="0"/>
          <w:sz w:val="26"/>
        </w:rPr>
        <w:t>Наставник историје: Никола Митић</w:t>
      </w:r>
      <w:r>
        <w:rPr>
          <w:rFonts w:ascii="Times New Roman" w:hAnsi="Times New Roman" w:eastAsia="Times New Roman"/>
          <w:b w:val="0"/>
          <w:sz w:val="26"/>
        </w:rPr>
        <w:br w:type="textWrapping"/>
      </w:r>
    </w:p>
    <w:p w14:paraId="11357B6D">
      <w:pPr>
        <w:jc w:val="center"/>
      </w:pPr>
      <w:r>
        <w:rPr>
          <w:sz w:val="24"/>
        </w:rPr>
        <w:br w:type="textWrapping"/>
      </w:r>
      <w:r>
        <w:rPr>
          <w:rFonts w:ascii="Times New Roman" w:hAnsi="Times New Roman" w:eastAsia="Times New Roman"/>
          <w:sz w:val="22"/>
        </w:rPr>
        <w:t>Документ је израђен у складу са важећим прописима о оцењивању, прописаним исходима наставе и учења историје и принципима формативног и сумативног оцењивања.</w:t>
      </w:r>
    </w:p>
    <w:p w14:paraId="0C251DBE">
      <w:r>
        <w:br w:type="page"/>
      </w:r>
    </w:p>
    <w:p w14:paraId="415CD970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Сврха и принципи оцењивања</w:t>
      </w:r>
    </w:p>
    <w:p w14:paraId="51A8E533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Критеријуми за оцењивање из предмета Историја утврђују јасне, мерљиве и ученицима разумљиве показатеље постигнућа за V, VI, VII и VIII разред основне школе. Оцењивањем се прати степен остварености прописаних исхода наставе и учења, развој историјског мишљења, примена знања, рад са историјским изворима и подацима, као и самосталност ученика у раду.</w:t>
      </w:r>
    </w:p>
    <w:p w14:paraId="6B6329D7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Оцењивање је континуирано, правично, подстицајно и усмерено на напредовање ученика. Оно обухвата формативно праћење током учења и сумативно оцењивање на крају одређених целина, тема или периода. Оцена се заснива на доказима о постигнућу ученика, а не на утиску о личности ученика.</w:t>
      </w:r>
    </w:p>
    <w:p w14:paraId="45E41820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Иницијално процењивање спроводи се на почетку школске године ради утврђивања претходних знања и планирања наставе. Резултат иницијалног процењивања не представља оцену која улази у закључивање оцене.</w:t>
      </w:r>
    </w:p>
    <w:p w14:paraId="7D58CBFB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Свака оцена ученику треба да буде саопштена јасно и, када је то потребно, пропраћена кратком повратном информацијом: шта је ученик успешно урадио, шта треба да унапреди и на који начин то може да постигне.</w:t>
      </w:r>
    </w:p>
    <w:p w14:paraId="521BBB7C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Елементи оцењивања</w:t>
      </w:r>
    </w:p>
    <w:p w14:paraId="6782A98C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усвојеност и разумевање историјских садржаја и појмова;</w:t>
      </w:r>
    </w:p>
    <w:p w14:paraId="49D82BC6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хронолошко и просторно сналажење и разумевање историјског контекста;</w:t>
      </w:r>
    </w:p>
    <w:p w14:paraId="428E6F5A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повезивање узрока, повода, тока и последица историјских процеса и догађаја;</w:t>
      </w:r>
    </w:p>
    <w:p w14:paraId="7B6A692D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рад са историјским изворима, картама, временским линијама, табелама, графиконима и другим подацима;</w:t>
      </w:r>
    </w:p>
    <w:p w14:paraId="2F4FCF6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примена знања у новим и проблемским ситуацијама и извођење закључака;</w:t>
      </w:r>
    </w:p>
    <w:p w14:paraId="33E78611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критичко мишљење, аргументовање и разликовање чињеница, тумачења и ставова;</w:t>
      </w:r>
    </w:p>
    <w:p w14:paraId="1AEE8644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усмено и писмено изражавање уз употребу одговарајуће историјске терминологије;</w:t>
      </w:r>
    </w:p>
    <w:p w14:paraId="63CD716A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самосталност, одговорност, истрајност и активност у процесу учења;</w:t>
      </w:r>
    </w:p>
    <w:p w14:paraId="72C802BD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израда истраживачких, пројектних и практичних задатака, презентација и других продуката рада.</w:t>
      </w:r>
    </w:p>
    <w:p w14:paraId="08442235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Начини и инструменти оцењивања</w:t>
      </w:r>
    </w:p>
    <w:p w14:paraId="00163DA4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Постигнућа се могу проверавати различитим инструментима како би се обухватиле различите способности ученика и обезбедила поузданија слика о остварености исхода.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19C2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shd w:val="clear" w:color="auto" w:fill="FFFFFF" w:themeFill="background1"/>
            <w:vAlign w:val="center"/>
          </w:tcPr>
          <w:p w14:paraId="5FD09370">
            <w:pPr>
              <w:spacing w:after="0" w:line="240" w:lineRule="auto"/>
              <w:jc w:val="left"/>
              <w:rPr>
                <w:color w:val="000000" w:themeColor="text1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2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Начин провере</w:t>
            </w:r>
          </w:p>
        </w:tc>
        <w:tc>
          <w:tcPr>
            <w:tcW w:w="3249" w:type="dxa"/>
            <w:shd w:val="clear" w:color="auto" w:fill="FFFFFF" w:themeFill="background1"/>
            <w:vAlign w:val="center"/>
          </w:tcPr>
          <w:p w14:paraId="50FD1C88">
            <w:pPr>
              <w:spacing w:after="0" w:line="240" w:lineRule="auto"/>
              <w:jc w:val="left"/>
              <w:rPr>
                <w:color w:val="000000" w:themeColor="text1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2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Шта се процењује</w:t>
            </w:r>
          </w:p>
        </w:tc>
        <w:tc>
          <w:tcPr>
            <w:tcW w:w="3249" w:type="dxa"/>
            <w:shd w:val="clear" w:color="auto" w:fill="FFFFFF" w:themeFill="background1"/>
            <w:vAlign w:val="center"/>
          </w:tcPr>
          <w:p w14:paraId="79C6A8D7">
            <w:pPr>
              <w:spacing w:after="0" w:line="240" w:lineRule="auto"/>
              <w:jc w:val="left"/>
              <w:rPr>
                <w:color w:val="000000" w:themeColor="text1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2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Примери инструмената</w:t>
            </w:r>
          </w:p>
        </w:tc>
      </w:tr>
      <w:tr w14:paraId="3E39B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vAlign w:val="center"/>
          </w:tcPr>
          <w:p w14:paraId="256ED0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Усмена провера</w:t>
            </w:r>
          </w:p>
        </w:tc>
        <w:tc>
          <w:tcPr>
            <w:tcW w:w="3249" w:type="dxa"/>
            <w:vAlign w:val="center"/>
          </w:tcPr>
          <w:p w14:paraId="5EC864A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разумевање, повезивање, аргументовање и усмено изражавање</w:t>
            </w:r>
          </w:p>
        </w:tc>
        <w:tc>
          <w:tcPr>
            <w:tcW w:w="3249" w:type="dxa"/>
            <w:vAlign w:val="center"/>
          </w:tcPr>
          <w:p w14:paraId="409E4CE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питања, разговор, анализа извора, објашњење историјског процеса</w:t>
            </w:r>
          </w:p>
        </w:tc>
      </w:tr>
      <w:tr w14:paraId="39610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vAlign w:val="center"/>
          </w:tcPr>
          <w:p w14:paraId="30CE26F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Писана провера</w:t>
            </w:r>
          </w:p>
        </w:tc>
        <w:tc>
          <w:tcPr>
            <w:tcW w:w="3249" w:type="dxa"/>
            <w:vAlign w:val="center"/>
          </w:tcPr>
          <w:p w14:paraId="0934F2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усвојеност садржаја и примена знања</w:t>
            </w:r>
          </w:p>
        </w:tc>
        <w:tc>
          <w:tcPr>
            <w:tcW w:w="3249" w:type="dxa"/>
            <w:vAlign w:val="center"/>
          </w:tcPr>
          <w:p w14:paraId="68CCEF8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тест, задаци различитих нивоа, кратка анализа извора</w:t>
            </w:r>
          </w:p>
        </w:tc>
      </w:tr>
      <w:tr w14:paraId="33AF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vAlign w:val="center"/>
          </w:tcPr>
          <w:p w14:paraId="6B114BF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Рад са изворима</w:t>
            </w:r>
          </w:p>
        </w:tc>
        <w:tc>
          <w:tcPr>
            <w:tcW w:w="3249" w:type="dxa"/>
            <w:vAlign w:val="center"/>
          </w:tcPr>
          <w:p w14:paraId="17073B7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тумачење и критичко читање историјских извора</w:t>
            </w:r>
          </w:p>
        </w:tc>
        <w:tc>
          <w:tcPr>
            <w:tcW w:w="3249" w:type="dxa"/>
            <w:vAlign w:val="center"/>
          </w:tcPr>
          <w:p w14:paraId="1FA94DF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текстуални, визуелни и картографски извори</w:t>
            </w:r>
          </w:p>
        </w:tc>
      </w:tr>
      <w:tr w14:paraId="04F7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vAlign w:val="center"/>
          </w:tcPr>
          <w:p w14:paraId="3031B5D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Практични/пројектни рад</w:t>
            </w:r>
          </w:p>
        </w:tc>
        <w:tc>
          <w:tcPr>
            <w:tcW w:w="3249" w:type="dxa"/>
            <w:vAlign w:val="center"/>
          </w:tcPr>
          <w:p w14:paraId="04C7C81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истраживање, самосталност, презентација и закључивање</w:t>
            </w:r>
          </w:p>
        </w:tc>
        <w:tc>
          <w:tcPr>
            <w:tcW w:w="3249" w:type="dxa"/>
            <w:vAlign w:val="center"/>
          </w:tcPr>
          <w:p w14:paraId="46D071E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пројекат, презентација, историјска карта, временска линија</w:t>
            </w:r>
          </w:p>
        </w:tc>
      </w:tr>
      <w:tr w14:paraId="0441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vAlign w:val="center"/>
          </w:tcPr>
          <w:p w14:paraId="3597CB8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Активност и формативно праћење</w:t>
            </w:r>
          </w:p>
        </w:tc>
        <w:tc>
          <w:tcPr>
            <w:tcW w:w="3249" w:type="dxa"/>
            <w:vAlign w:val="center"/>
          </w:tcPr>
          <w:p w14:paraId="4BD2804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напредовање, ангажовање и примена знања</w:t>
            </w:r>
          </w:p>
        </w:tc>
        <w:tc>
          <w:tcPr>
            <w:tcW w:w="3249" w:type="dxa"/>
            <w:vAlign w:val="center"/>
          </w:tcPr>
          <w:p w14:paraId="17221A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рад на часу, кратки задаци, питања, самопроцена</w:t>
            </w:r>
          </w:p>
        </w:tc>
      </w:tr>
    </w:tbl>
    <w:p w14:paraId="7BF03FDF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Општи критеријуми за бројчане оцене</w:t>
      </w:r>
    </w:p>
    <w:p w14:paraId="5B3ED7E6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Критеријуми су описни показатељи нивоа постигнућа. Приликом оцењивања наставник узима у обзир конкретне исходе који су проверавани, тежину задатака и начин провере. Проценат успешности на тесту може бити један од елемената, али се закључна оцена не своди механички на просек процената.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3A8E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shd w:val="clear" w:color="auto" w:fill="FFFFFF" w:themeFill="background1"/>
            <w:vAlign w:val="center"/>
          </w:tcPr>
          <w:p w14:paraId="14034BF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Оцена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6D2E2CA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Опис нивоа постигнућа</w:t>
            </w:r>
          </w:p>
        </w:tc>
      </w:tr>
      <w:tr w14:paraId="7478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vAlign w:val="center"/>
          </w:tcPr>
          <w:p w14:paraId="2D9894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5 – одличан</w:t>
            </w:r>
          </w:p>
        </w:tc>
        <w:tc>
          <w:tcPr>
            <w:tcW w:w="4873" w:type="dxa"/>
            <w:vAlign w:val="center"/>
          </w:tcPr>
          <w:p w14:paraId="3698F43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у потпуности остварује очекиване исходе; сигурно и прецизно користи историјске појмове; самостално повезује чињенице и процесе; објашњава узроке и последице; анализира изворе и податке; изводи аргументоване закључке; знање примењује у новим ситуацијама и критички процењује различита тумачења.</w:t>
            </w:r>
          </w:p>
        </w:tc>
      </w:tr>
      <w:tr w14:paraId="65F6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vAlign w:val="center"/>
          </w:tcPr>
          <w:p w14:paraId="2BFC0E7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4 – врло добар</w:t>
            </w:r>
          </w:p>
        </w:tc>
        <w:tc>
          <w:tcPr>
            <w:tcW w:w="4873" w:type="dxa"/>
            <w:vAlign w:val="center"/>
          </w:tcPr>
          <w:p w14:paraId="068DDF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остварује већину исхода на високом нивоу; правилно користи кључне појмове; самостално објашњава већину процеса и односа; повезује чињенице и изводи закључке; успешно ради са изворима и подацима, уз мање пропусте.</w:t>
            </w:r>
          </w:p>
        </w:tc>
      </w:tr>
      <w:tr w14:paraId="78AF4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vAlign w:val="center"/>
          </w:tcPr>
          <w:p w14:paraId="390FF4E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3 – добар</w:t>
            </w:r>
          </w:p>
        </w:tc>
        <w:tc>
          <w:tcPr>
            <w:tcW w:w="4873" w:type="dxa"/>
            <w:vAlign w:val="center"/>
          </w:tcPr>
          <w:p w14:paraId="3925F55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остварује основне исходе; познаје и разуме кључне чињенице и појмове; може да објасни једноставне узрочно-последичне везе; уз мању помоћ анализира изворе и примењује знање у познатим ситуацијама.</w:t>
            </w:r>
          </w:p>
        </w:tc>
      </w:tr>
      <w:tr w14:paraId="6EDB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vAlign w:val="center"/>
          </w:tcPr>
          <w:p w14:paraId="02D249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2 – довољан</w:t>
            </w:r>
          </w:p>
        </w:tc>
        <w:tc>
          <w:tcPr>
            <w:tcW w:w="4873" w:type="dxa"/>
            <w:vAlign w:val="center"/>
          </w:tcPr>
          <w:p w14:paraId="50656C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остварује минимални ниво очекиваних исхода; препознаје и репродукује основне чињенице и појмове; уз значајну подршку решава једноставније задатке; показује делимично разумевање историјског контекста.</w:t>
            </w:r>
          </w:p>
        </w:tc>
      </w:tr>
      <w:tr w14:paraId="74D5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3" w:type="dxa"/>
            <w:vAlign w:val="center"/>
          </w:tcPr>
          <w:p w14:paraId="2792421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1 – недовољан</w:t>
            </w:r>
          </w:p>
        </w:tc>
        <w:tc>
          <w:tcPr>
            <w:tcW w:w="4873" w:type="dxa"/>
            <w:vAlign w:val="center"/>
          </w:tcPr>
          <w:p w14:paraId="3E7D1C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не остварује минимални ниво очекиваних исхода; не препознаје или не разуме основне појмове и чињенице и не успева да реши основне задатке ни уз подршку.</w:t>
            </w:r>
          </w:p>
        </w:tc>
      </w:tr>
    </w:tbl>
    <w:p w14:paraId="14FDF132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Исходи и критеријуми по разредима – V. разред</w:t>
      </w:r>
    </w:p>
    <w:p w14:paraId="60C43CFE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Област/оквир садржаја: Увод у историју и историјске изворе; праисторија и стари век.</w:t>
      </w:r>
    </w:p>
    <w:p w14:paraId="3E9DFAC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разликује основне врсте историјских извора и користи их за извођење једноставних закључака;</w:t>
      </w:r>
    </w:p>
    <w:p w14:paraId="1B4A8B9D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користи основне појмове и хронолошке одреднице и сналаже се на историјској карти;</w:t>
      </w:r>
    </w:p>
    <w:p w14:paraId="251F08A0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описује и објашњава важније појаве и процесе праисторије и старог века;</w:t>
      </w:r>
    </w:p>
    <w:p w14:paraId="27F6F9D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уочава једноставне узрочно-последичне везе и разликује битно од мање битног;</w:t>
      </w:r>
    </w:p>
    <w:p w14:paraId="56495017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развија навику аргументованог одговарања и коришћења историјске терминологије.</w:t>
      </w:r>
    </w:p>
    <w:p w14:paraId="2A07CCD2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Развој постигнућа: Од ученика се очекује постепен прелаз од репродукције чињеница ка разумевању историјских појава и раду са изворима.</w:t>
      </w:r>
    </w:p>
    <w:p w14:paraId="2035A246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Исходи и критеријуми по разредима – VI. разред</w:t>
      </w:r>
    </w:p>
    <w:p w14:paraId="3BFC0385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Област/оквир садржаја: Средњи век и рани нови век.</w:t>
      </w:r>
    </w:p>
    <w:p w14:paraId="351D1354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објашњава основне политичке, друштвене, привредне и културне процесе средњег века;</w:t>
      </w:r>
    </w:p>
    <w:p w14:paraId="44A5EFF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повезује историјске појаве у времену и простору и уочава њихове последице;</w:t>
      </w:r>
    </w:p>
    <w:p w14:paraId="08FA881D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користи карту, временску линију и историјске изворе;</w:t>
      </w:r>
    </w:p>
    <w:p w14:paraId="525D2908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упоређује историјске појаве и уочава сличности и разлике;</w:t>
      </w:r>
    </w:p>
    <w:p w14:paraId="6761E458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самосталније образлаже закључке и користи историјску терминологију.</w:t>
      </w:r>
    </w:p>
    <w:p w14:paraId="3A991E16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Развој постигнућа: Нагласак је на разумевању процеса, повезивању узрока и последица и постепеном развоју историјског мишљења.</w:t>
      </w:r>
    </w:p>
    <w:p w14:paraId="77CB1495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Исходи и критеријуми по разредима – VII. разред</w:t>
      </w:r>
    </w:p>
    <w:p w14:paraId="266DB09F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Област/оквир садржаја: Нови век и савремено доба до почетка XX века.</w:t>
      </w:r>
    </w:p>
    <w:p w14:paraId="5C2B1C05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објашњава сложеније политичке, економске, друштвене и културне процесе;</w:t>
      </w:r>
    </w:p>
    <w:p w14:paraId="6C130B9F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анализира узроке, ток и последице важних историјских догађаја;</w:t>
      </w:r>
    </w:p>
    <w:p w14:paraId="0A6BF6A0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тумачи различите врсте историјских извора и података;</w:t>
      </w:r>
    </w:p>
    <w:p w14:paraId="0F0C7E17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упоређује различита историјска искуства и аргументовано износи закључке;</w:t>
      </w:r>
    </w:p>
    <w:p w14:paraId="04B89A4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примењује знање у проблемским задацима и развија критички однос према историјским тумачењима.</w:t>
      </w:r>
    </w:p>
    <w:p w14:paraId="376C1C16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Развој постигнућа: Очекује се већа самосталност у анализи, аргументовању и примени знања у новим ситуацијама.</w:t>
      </w:r>
    </w:p>
    <w:p w14:paraId="0608954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Исходи и критеријуми по разредима – VIII. разред</w:t>
      </w:r>
    </w:p>
    <w:p w14:paraId="450AC139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Област/оквир садржаја: Савремено доба: XX и почетак XXI века.</w:t>
      </w:r>
    </w:p>
    <w:p w14:paraId="19EF4696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сагледава сложене политичке, друштвене, економске и културне процесе XX века;</w:t>
      </w:r>
    </w:p>
    <w:p w14:paraId="1873239A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анализира узроке и последице кључних догађаја и процеса и повезује их са ширим историјским контекстом;</w:t>
      </w:r>
    </w:p>
    <w:p w14:paraId="096882C3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критички анализира историјске изворе и препознаје различита тумачења;</w:t>
      </w:r>
    </w:p>
    <w:p w14:paraId="68D6714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аргументовано образлаже ставове и изводи закључке засноване на доказима;</w:t>
      </w:r>
    </w:p>
    <w:p w14:paraId="796E136B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самостално примењује знања у истраживачким, проблемским и пројектним задацима.</w:t>
      </w:r>
    </w:p>
    <w:p w14:paraId="73FA66D8">
      <w:pPr>
        <w:spacing w:after="120" w:line="252" w:lineRule="auto"/>
      </w:pPr>
      <w:r>
        <w:rPr>
          <w:rFonts w:ascii="Times New Roman" w:hAnsi="Times New Roman" w:eastAsia="Times New Roman"/>
          <w:b w:val="0"/>
          <w:sz w:val="24"/>
        </w:rPr>
        <w:t>Развој постигнућа: Највиши ниво подразумева самостално историјско тумачење, аргументовање на основу доказа и повезивање локалне, националне, европске и светске историје.</w:t>
      </w:r>
    </w:p>
    <w:p w14:paraId="4CBBEEDA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9. Критеријуми за рад са историјским изворима</w:t>
      </w:r>
    </w:p>
    <w:p w14:paraId="518DE4D9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Ниво 1: ученик препознаје основне податке из извора уз подршку.</w:t>
      </w:r>
    </w:p>
    <w:p w14:paraId="0A7B933F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Ниво 2: ученик издваја релевантне податке и повезује их са познатим садржајем.</w:t>
      </w:r>
    </w:p>
    <w:p w14:paraId="5B7B3B47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Ниво 3: ученик самостално тумачи основну поруку извора и изводи закључак.</w:t>
      </w:r>
    </w:p>
    <w:p w14:paraId="6F296381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Ниво 4: ученик упоређује више извора, уочава разлике у перспективама и аргументује закључке.</w:t>
      </w:r>
    </w:p>
    <w:p w14:paraId="6BDE2BFC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Ниво 5: ученик критички процењује извор, његов контекст и ограничења и користи више доказа за самостално историјско тумачење.</w:t>
      </w:r>
    </w:p>
    <w:p w14:paraId="48394E1F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10. Критеријуми за пројектни и истраживачки рад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7A4B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73" w:type="dxa"/>
            <w:shd w:val="clear" w:color="auto" w:fill="FFFFFF" w:themeFill="background1"/>
            <w:vAlign w:val="center"/>
          </w:tcPr>
          <w:p w14:paraId="08766C3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Елемент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17E5280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Критеријум</w:t>
            </w:r>
          </w:p>
        </w:tc>
      </w:tr>
      <w:tr w14:paraId="29CE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524845D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Историјска тачност</w:t>
            </w:r>
          </w:p>
        </w:tc>
        <w:tc>
          <w:tcPr>
            <w:tcW w:w="4873" w:type="dxa"/>
            <w:vAlign w:val="center"/>
          </w:tcPr>
          <w:p w14:paraId="4C222C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Подаци су проверени и правилно употребљени.</w:t>
            </w:r>
          </w:p>
        </w:tc>
      </w:tr>
      <w:tr w14:paraId="3E17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0FBF5C1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Истраживање</w:t>
            </w:r>
          </w:p>
        </w:tc>
        <w:tc>
          <w:tcPr>
            <w:tcW w:w="4873" w:type="dxa"/>
            <w:vAlign w:val="center"/>
          </w:tcPr>
          <w:p w14:paraId="546C5B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користи одговарајуће изворе и издваја релевантне информације.</w:t>
            </w:r>
          </w:p>
        </w:tc>
      </w:tr>
      <w:tr w14:paraId="7153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3E46656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Анализа</w:t>
            </w:r>
          </w:p>
        </w:tc>
        <w:tc>
          <w:tcPr>
            <w:tcW w:w="4873" w:type="dxa"/>
            <w:vAlign w:val="center"/>
          </w:tcPr>
          <w:p w14:paraId="0682448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Повезује податке, објашњава узроке и последице и изводи закључке.</w:t>
            </w:r>
          </w:p>
        </w:tc>
      </w:tr>
      <w:tr w14:paraId="64E4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3D50840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Самосталност</w:t>
            </w:r>
          </w:p>
        </w:tc>
        <w:tc>
          <w:tcPr>
            <w:tcW w:w="4873" w:type="dxa"/>
            <w:vAlign w:val="center"/>
          </w:tcPr>
          <w:p w14:paraId="26989FC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Ученик самостално планира и реализује свој део рада.</w:t>
            </w:r>
          </w:p>
        </w:tc>
      </w:tr>
      <w:tr w14:paraId="5EE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3315496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Презентација</w:t>
            </w:r>
          </w:p>
        </w:tc>
        <w:tc>
          <w:tcPr>
            <w:tcW w:w="4873" w:type="dxa"/>
            <w:vAlign w:val="center"/>
          </w:tcPr>
          <w:p w14:paraId="7F7798B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Јасно, логично и језички правилно представља резултате.</w:t>
            </w:r>
          </w:p>
        </w:tc>
      </w:tr>
      <w:tr w14:paraId="464B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3" w:type="dxa"/>
            <w:vAlign w:val="center"/>
          </w:tcPr>
          <w:p w14:paraId="0A8AAD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2"/>
              </w:rPr>
              <w:t>Критичко мишљење</w:t>
            </w:r>
          </w:p>
        </w:tc>
        <w:tc>
          <w:tcPr>
            <w:tcW w:w="4873" w:type="dxa"/>
            <w:vAlign w:val="center"/>
          </w:tcPr>
          <w:p w14:paraId="5D7D231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Разликује чињенице од тумачења и аргументује ставове доказима.</w:t>
            </w:r>
          </w:p>
        </w:tc>
      </w:tr>
    </w:tbl>
    <w:p w14:paraId="48AC7E59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11. Формативно праћење и повратна информација</w:t>
      </w:r>
    </w:p>
    <w:p w14:paraId="353BC514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Формативно праћење има за циљ да ученик разуме сопствени напредак и добије јасан правац за даљи рад. Наставник прати оствареност исхода, самосталност, примену знања, рад са изворима и активност у процесу учења. Повратна информација треба да буде конкретна и усмерена на напредовање.</w:t>
      </w:r>
    </w:p>
    <w:p w14:paraId="21813B20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„Успешно препознајеш узроке догађаја; следећи корак је да јасније образложиш њихове последице.“</w:t>
      </w:r>
    </w:p>
    <w:p w14:paraId="6418115C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„Добро користиш карту; покушај да своје закључке поткрепиш подацима из извора.“</w:t>
      </w:r>
    </w:p>
    <w:p w14:paraId="4BBD7AA6">
      <w:pPr>
        <w:pStyle w:val="23"/>
        <w:spacing w:after="60" w:line="240" w:lineRule="auto"/>
      </w:pPr>
      <w:r>
        <w:rPr>
          <w:rFonts w:ascii="Times New Roman" w:hAnsi="Times New Roman" w:eastAsia="Times New Roman"/>
          <w:sz w:val="24"/>
        </w:rPr>
        <w:t>„Познајеш кључне чињенице; сада их повежи у шири историјски процес.“</w:t>
      </w:r>
    </w:p>
    <w:p w14:paraId="6539C64D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12. Прилагођавање начина провере потребама ученика</w:t>
      </w:r>
    </w:p>
    <w:p w14:paraId="69C50B5B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Начин, обим и сложеност провере могу се прилагодити образовним потребама ученика у складу са индивидуализацијом, индивидуалним образовним планом и важећим прописима. Прилагођавање не подразумева снижавање очекивања без педагошког основа, већ обезбеђивање услова у којима ученик може да покаже оно што зна и уме.</w:t>
      </w:r>
    </w:p>
    <w:p w14:paraId="147F3E2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13. Закључна оцена</w:t>
      </w:r>
    </w:p>
    <w:p w14:paraId="709F345A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Закључна оцена представља целовиту процену остварености исхода и напредовања ученика током полугодишта, односно школске године. Приликом закључивања узимају се у обзир све релевантне оцене и докази о постигнућу, континуитет рада и напредовање ученика, уз поштовање важећих прописа. Закључна оцена не треба да буде механички просек појединачних оцена.</w:t>
      </w:r>
    </w:p>
    <w:p w14:paraId="4C59D8DF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При доношењу закључне оцене посебно се сагледава да ли ученик може да примени знања, објасни историјске процесе, ради са изворима, аргументује закључке и самостално решава задатке примерене нивоу разреда.</w:t>
      </w:r>
    </w:p>
    <w:p w14:paraId="0C02CC0C">
      <w:pPr>
        <w:pStyle w:val="2"/>
      </w:pPr>
      <w:r>
        <w:t>14. Завршна напомена</w:t>
      </w:r>
    </w:p>
    <w:p w14:paraId="0DFCAF38">
      <w:pPr>
        <w:spacing w:after="120" w:line="252" w:lineRule="auto"/>
        <w:ind w:firstLine="397"/>
        <w:jc w:val="both"/>
      </w:pPr>
      <w:r>
        <w:rPr>
          <w:rFonts w:ascii="Times New Roman" w:hAnsi="Times New Roman" w:eastAsia="Times New Roman"/>
          <w:b w:val="0"/>
          <w:sz w:val="24"/>
        </w:rPr>
        <w:t>Критеријуми су намењени ученицима, родитељима и наставнику као јасан оквир за праћење и вредновање постигнућа. Они се примењују у складу са важећим законима, правилницима, програмима наставе и учења и школским актима. У случају измене прописа, критеријуми се усаглашавају са новим обавезујућим одредбама.</w:t>
      </w:r>
    </w:p>
    <w:sectPr>
      <w:footerReference r:id="rId5" w:type="default"/>
      <w:pgSz w:w="12240" w:h="15840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B2C6C">
    <w:pPr>
      <w:pStyle w:val="18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6C56607"/>
    <w:rsid w:val="785A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1331</Words>
  <Characters>8455</Characters>
  <Lines>0</Lines>
  <Paragraphs>0</Paragraphs>
  <TotalTime>12</TotalTime>
  <ScaleCrop>false</ScaleCrop>
  <LinksUpToDate>false</LinksUpToDate>
  <CharactersWithSpaces>9665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WPS_1785747276</cp:lastModifiedBy>
  <dcterms:modified xsi:type="dcterms:W3CDTF">2026-08-29T06:31:21Z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eyJoZGlkIjoiY2Y1YWE5Y2EzYzFkZGM0NzEyMWE4NzA2Y2IyOWRiM2IiLCJ1c2VySWQiOiI4MTA4OTAyNjc2OTQyIn0=</vt:lpwstr>
  </property>
  <property fmtid="{D5CDD505-2E9C-101B-9397-08002B2CF9AE}" pid="3" name="KSOProductBuildVer">
    <vt:lpwstr>1033-12.1.0.28485</vt:lpwstr>
  </property>
  <property fmtid="{D5CDD505-2E9C-101B-9397-08002B2CF9AE}" pid="4" name="ICV">
    <vt:lpwstr>59D9F054C12944CBA18E9B6FCFA16EF7_12</vt:lpwstr>
  </property>
</Properties>
</file>